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C23978" w14:textId="731C316F" w:rsidR="0077330C" w:rsidRDefault="00A4680F" w:rsidP="00A4680F">
      <w:pPr>
        <w:jc w:val="center"/>
        <w:rPr>
          <w:rFonts w:ascii="Arial" w:hAnsi="Arial" w:cs="Arial"/>
          <w:b/>
          <w:bCs/>
          <w:sz w:val="26"/>
          <w:szCs w:val="26"/>
        </w:rPr>
      </w:pPr>
      <w:r w:rsidRPr="00E032CB">
        <w:rPr>
          <w:rFonts w:ascii="Arial" w:hAnsi="Arial" w:cs="Arial"/>
          <w:b/>
          <w:bCs/>
          <w:sz w:val="26"/>
          <w:szCs w:val="26"/>
        </w:rPr>
        <w:t>Busting Myths about Successful Group Work</w:t>
      </w:r>
    </w:p>
    <w:p w14:paraId="1BA156CE" w14:textId="32134BA5" w:rsidR="006E4CDA" w:rsidRPr="00264423" w:rsidRDefault="00264423" w:rsidP="00264423">
      <w:pPr>
        <w:jc w:val="center"/>
        <w:rPr>
          <w:rFonts w:ascii="Arial" w:hAnsi="Arial" w:cs="Arial"/>
          <w:sz w:val="24"/>
          <w:szCs w:val="24"/>
        </w:rPr>
      </w:pPr>
      <w:r w:rsidRPr="00264423">
        <w:rPr>
          <w:rFonts w:ascii="Arial" w:hAnsi="Arial" w:cs="Arial"/>
          <w:sz w:val="24"/>
          <w:szCs w:val="24"/>
        </w:rPr>
        <w:t>Amy B. Mulnix</w:t>
      </w:r>
    </w:p>
    <w:tbl>
      <w:tblPr>
        <w:tblStyle w:val="TableGrid"/>
        <w:tblW w:w="0" w:type="auto"/>
        <w:tblLook w:val="04A0" w:firstRow="1" w:lastRow="0" w:firstColumn="1" w:lastColumn="0" w:noHBand="0" w:noVBand="1"/>
      </w:tblPr>
      <w:tblGrid>
        <w:gridCol w:w="4315"/>
        <w:gridCol w:w="5035"/>
      </w:tblGrid>
      <w:tr w:rsidR="00E62BB5" w:rsidRPr="00E032CB" w14:paraId="2FB34E81" w14:textId="77777777" w:rsidTr="004F6410">
        <w:trPr>
          <w:trHeight w:val="980"/>
        </w:trPr>
        <w:tc>
          <w:tcPr>
            <w:tcW w:w="4315" w:type="dxa"/>
          </w:tcPr>
          <w:p w14:paraId="06DD2174" w14:textId="77777777" w:rsidR="00E62BB5" w:rsidRPr="00E032CB" w:rsidRDefault="00E62BB5" w:rsidP="004F6410">
            <w:pPr>
              <w:spacing w:before="240"/>
              <w:jc w:val="center"/>
              <w:rPr>
                <w:rFonts w:ascii="Arial" w:hAnsi="Arial" w:cs="Arial"/>
                <w:b/>
                <w:bCs/>
                <w:sz w:val="22"/>
                <w:szCs w:val="22"/>
              </w:rPr>
            </w:pPr>
            <w:r w:rsidRPr="00E032CB">
              <w:rPr>
                <w:rFonts w:ascii="Arial" w:hAnsi="Arial" w:cs="Arial"/>
                <w:b/>
                <w:bCs/>
                <w:sz w:val="22"/>
                <w:szCs w:val="22"/>
              </w:rPr>
              <w:t>Common Misguided Assumptions about Group Work</w:t>
            </w:r>
          </w:p>
        </w:tc>
        <w:tc>
          <w:tcPr>
            <w:tcW w:w="5035" w:type="dxa"/>
          </w:tcPr>
          <w:p w14:paraId="6C590F78" w14:textId="77777777" w:rsidR="00E62BB5" w:rsidRPr="00E032CB" w:rsidRDefault="00E62BB5" w:rsidP="004F6410">
            <w:pPr>
              <w:spacing w:before="240"/>
              <w:jc w:val="center"/>
              <w:rPr>
                <w:rFonts w:ascii="Arial" w:hAnsi="Arial" w:cs="Arial"/>
                <w:b/>
                <w:bCs/>
                <w:sz w:val="22"/>
                <w:szCs w:val="22"/>
              </w:rPr>
            </w:pPr>
            <w:r w:rsidRPr="00E032CB">
              <w:rPr>
                <w:rFonts w:ascii="Arial" w:hAnsi="Arial" w:cs="Arial"/>
                <w:b/>
                <w:bCs/>
                <w:sz w:val="22"/>
                <w:szCs w:val="22"/>
              </w:rPr>
              <w:t xml:space="preserve"> Realities in Group Work</w:t>
            </w:r>
          </w:p>
        </w:tc>
      </w:tr>
      <w:tr w:rsidR="00E62BB5" w:rsidRPr="00E032CB" w14:paraId="47E6BE31" w14:textId="77777777" w:rsidTr="004F6410">
        <w:trPr>
          <w:trHeight w:val="818"/>
        </w:trPr>
        <w:tc>
          <w:tcPr>
            <w:tcW w:w="4315" w:type="dxa"/>
            <w:vAlign w:val="center"/>
          </w:tcPr>
          <w:p w14:paraId="0CD77186" w14:textId="77777777" w:rsidR="00E62BB5" w:rsidRPr="00E032CB" w:rsidRDefault="00E62BB5" w:rsidP="004F6410">
            <w:pPr>
              <w:rPr>
                <w:rFonts w:ascii="Arial" w:hAnsi="Arial" w:cs="Arial"/>
                <w:sz w:val="22"/>
                <w:szCs w:val="22"/>
              </w:rPr>
            </w:pPr>
            <w:r w:rsidRPr="00E032CB">
              <w:rPr>
                <w:rFonts w:ascii="Arial" w:hAnsi="Arial" w:cs="Arial"/>
                <w:sz w:val="22"/>
                <w:szCs w:val="22"/>
              </w:rPr>
              <w:t>Groups have a single leader.</w:t>
            </w:r>
          </w:p>
        </w:tc>
        <w:tc>
          <w:tcPr>
            <w:tcW w:w="5035" w:type="dxa"/>
            <w:vAlign w:val="center"/>
          </w:tcPr>
          <w:p w14:paraId="402AE02C" w14:textId="77777777" w:rsidR="00E62BB5" w:rsidRPr="00E032CB" w:rsidRDefault="00E62BB5" w:rsidP="004F6410">
            <w:pPr>
              <w:rPr>
                <w:rFonts w:ascii="Arial" w:hAnsi="Arial" w:cs="Arial"/>
                <w:sz w:val="22"/>
                <w:szCs w:val="22"/>
              </w:rPr>
            </w:pPr>
            <w:r w:rsidRPr="00E032CB">
              <w:rPr>
                <w:rFonts w:ascii="Arial" w:hAnsi="Arial" w:cs="Arial"/>
                <w:sz w:val="22"/>
                <w:szCs w:val="22"/>
              </w:rPr>
              <w:t>Leadership is distributed among group members.</w:t>
            </w:r>
          </w:p>
        </w:tc>
      </w:tr>
      <w:tr w:rsidR="00E62BB5" w:rsidRPr="00E032CB" w14:paraId="066B17AD" w14:textId="77777777" w:rsidTr="004F6410">
        <w:trPr>
          <w:trHeight w:val="755"/>
        </w:trPr>
        <w:tc>
          <w:tcPr>
            <w:tcW w:w="4315" w:type="dxa"/>
            <w:vAlign w:val="center"/>
          </w:tcPr>
          <w:p w14:paraId="7A1B3F34" w14:textId="77777777" w:rsidR="00E62BB5" w:rsidRPr="00E032CB" w:rsidRDefault="00E62BB5" w:rsidP="004F6410">
            <w:pPr>
              <w:rPr>
                <w:rFonts w:ascii="Arial" w:hAnsi="Arial" w:cs="Arial"/>
                <w:sz w:val="22"/>
                <w:szCs w:val="22"/>
              </w:rPr>
            </w:pPr>
            <w:r w:rsidRPr="00E032CB">
              <w:rPr>
                <w:rFonts w:ascii="Arial" w:hAnsi="Arial" w:cs="Arial"/>
                <w:sz w:val="22"/>
                <w:szCs w:val="22"/>
              </w:rPr>
              <w:t>Group leadership is about dominating and directing.</w:t>
            </w:r>
          </w:p>
        </w:tc>
        <w:tc>
          <w:tcPr>
            <w:tcW w:w="5035" w:type="dxa"/>
            <w:vAlign w:val="center"/>
          </w:tcPr>
          <w:p w14:paraId="0254B331" w14:textId="77777777" w:rsidR="00E62BB5" w:rsidRPr="00E032CB" w:rsidRDefault="00E62BB5" w:rsidP="004F6410">
            <w:pPr>
              <w:rPr>
                <w:rFonts w:ascii="Arial" w:hAnsi="Arial" w:cs="Arial"/>
                <w:sz w:val="22"/>
                <w:szCs w:val="22"/>
              </w:rPr>
            </w:pPr>
            <w:r w:rsidRPr="00E032CB">
              <w:rPr>
                <w:rFonts w:ascii="Arial" w:hAnsi="Arial" w:cs="Arial"/>
                <w:sz w:val="22"/>
                <w:szCs w:val="22"/>
              </w:rPr>
              <w:t>Effective group leaders seek consensus and equitable participation.</w:t>
            </w:r>
          </w:p>
        </w:tc>
      </w:tr>
      <w:tr w:rsidR="00E62BB5" w:rsidRPr="00E032CB" w14:paraId="71F9B9DE" w14:textId="77777777" w:rsidTr="004F6410">
        <w:trPr>
          <w:trHeight w:val="1070"/>
        </w:trPr>
        <w:tc>
          <w:tcPr>
            <w:tcW w:w="4315" w:type="dxa"/>
            <w:vAlign w:val="center"/>
          </w:tcPr>
          <w:p w14:paraId="5577F628" w14:textId="77777777" w:rsidR="00E62BB5" w:rsidRPr="00E032CB" w:rsidRDefault="00E62BB5" w:rsidP="004F6410">
            <w:pPr>
              <w:rPr>
                <w:rFonts w:ascii="Arial" w:hAnsi="Arial" w:cs="Arial"/>
                <w:sz w:val="22"/>
                <w:szCs w:val="22"/>
              </w:rPr>
            </w:pPr>
            <w:r w:rsidRPr="00E032CB">
              <w:rPr>
                <w:rFonts w:ascii="Arial" w:hAnsi="Arial" w:cs="Arial"/>
                <w:sz w:val="22"/>
                <w:szCs w:val="22"/>
              </w:rPr>
              <w:t>There is a single best way to accomplish the task at hand.</w:t>
            </w:r>
          </w:p>
        </w:tc>
        <w:tc>
          <w:tcPr>
            <w:tcW w:w="5035" w:type="dxa"/>
            <w:vAlign w:val="center"/>
          </w:tcPr>
          <w:p w14:paraId="762B30BD" w14:textId="77777777" w:rsidR="00E62BB5" w:rsidRPr="00E032CB" w:rsidRDefault="00E62BB5" w:rsidP="004F6410">
            <w:pPr>
              <w:rPr>
                <w:rFonts w:ascii="Arial" w:hAnsi="Arial" w:cs="Arial"/>
                <w:sz w:val="22"/>
                <w:szCs w:val="22"/>
              </w:rPr>
            </w:pPr>
            <w:r w:rsidRPr="00E032CB">
              <w:rPr>
                <w:rFonts w:ascii="Arial" w:hAnsi="Arial" w:cs="Arial"/>
                <w:sz w:val="22"/>
                <w:szCs w:val="22"/>
              </w:rPr>
              <w:t>As in most of life, there is no single right answer. Successful groups stay open to ideas and stay flexible in the face of inevitable obstacles.</w:t>
            </w:r>
          </w:p>
        </w:tc>
      </w:tr>
      <w:tr w:rsidR="00E62BB5" w:rsidRPr="00E032CB" w14:paraId="0AF56359" w14:textId="77777777" w:rsidTr="004F6410">
        <w:trPr>
          <w:trHeight w:val="890"/>
        </w:trPr>
        <w:tc>
          <w:tcPr>
            <w:tcW w:w="4315" w:type="dxa"/>
            <w:vAlign w:val="center"/>
          </w:tcPr>
          <w:p w14:paraId="145C798E" w14:textId="77777777" w:rsidR="00E62BB5" w:rsidRPr="00E032CB" w:rsidRDefault="00E62BB5" w:rsidP="004F6410">
            <w:pPr>
              <w:rPr>
                <w:rFonts w:ascii="Arial" w:hAnsi="Arial" w:cs="Arial"/>
                <w:sz w:val="22"/>
                <w:szCs w:val="22"/>
              </w:rPr>
            </w:pPr>
            <w:r w:rsidRPr="00E032CB">
              <w:rPr>
                <w:rFonts w:ascii="Arial" w:hAnsi="Arial" w:cs="Arial"/>
                <w:sz w:val="22"/>
                <w:szCs w:val="22"/>
              </w:rPr>
              <w:t>Persons who are quiet do not comprehend or are disinterested in the assignment.</w:t>
            </w:r>
          </w:p>
        </w:tc>
        <w:tc>
          <w:tcPr>
            <w:tcW w:w="5035" w:type="dxa"/>
            <w:vAlign w:val="center"/>
          </w:tcPr>
          <w:p w14:paraId="3AAFF276" w14:textId="77777777" w:rsidR="00E62BB5" w:rsidRPr="00E032CB" w:rsidRDefault="00E62BB5" w:rsidP="004F6410">
            <w:pPr>
              <w:rPr>
                <w:rFonts w:ascii="Arial" w:hAnsi="Arial" w:cs="Arial"/>
                <w:sz w:val="22"/>
                <w:szCs w:val="22"/>
              </w:rPr>
            </w:pPr>
            <w:r w:rsidRPr="00E032CB">
              <w:rPr>
                <w:rFonts w:ascii="Arial" w:hAnsi="Arial" w:cs="Arial"/>
                <w:sz w:val="22"/>
                <w:szCs w:val="22"/>
              </w:rPr>
              <w:t xml:space="preserve">Persons who are quiet have numerous contributions to make and it is the group’s responsibility to actively make the space for those contributions to emerge and be taken seriously. </w:t>
            </w:r>
          </w:p>
        </w:tc>
      </w:tr>
      <w:tr w:rsidR="00E62BB5" w:rsidRPr="00E032CB" w14:paraId="31A8A792" w14:textId="77777777" w:rsidTr="004F6410">
        <w:trPr>
          <w:trHeight w:val="1340"/>
        </w:trPr>
        <w:tc>
          <w:tcPr>
            <w:tcW w:w="4315" w:type="dxa"/>
            <w:vAlign w:val="center"/>
          </w:tcPr>
          <w:p w14:paraId="02F115F1" w14:textId="77777777" w:rsidR="00E62BB5" w:rsidRPr="00E032CB" w:rsidRDefault="00E62BB5" w:rsidP="004F6410">
            <w:pPr>
              <w:rPr>
                <w:rFonts w:ascii="Arial" w:hAnsi="Arial" w:cs="Arial"/>
                <w:sz w:val="22"/>
                <w:szCs w:val="22"/>
              </w:rPr>
            </w:pPr>
            <w:r w:rsidRPr="00E032CB">
              <w:rPr>
                <w:rFonts w:ascii="Arial" w:hAnsi="Arial" w:cs="Arial"/>
                <w:sz w:val="22"/>
                <w:szCs w:val="22"/>
              </w:rPr>
              <w:t>English language learners cannot contribute to the task at the same level as fluent English speakers.</w:t>
            </w:r>
          </w:p>
        </w:tc>
        <w:tc>
          <w:tcPr>
            <w:tcW w:w="5035" w:type="dxa"/>
            <w:vAlign w:val="center"/>
          </w:tcPr>
          <w:p w14:paraId="75E37266" w14:textId="77777777" w:rsidR="00E62BB5" w:rsidRPr="00E032CB" w:rsidRDefault="00E62BB5" w:rsidP="004F6410">
            <w:pPr>
              <w:rPr>
                <w:rFonts w:ascii="Arial" w:hAnsi="Arial" w:cs="Arial"/>
                <w:sz w:val="22"/>
                <w:szCs w:val="22"/>
              </w:rPr>
            </w:pPr>
            <w:r w:rsidRPr="00E032CB">
              <w:rPr>
                <w:rFonts w:ascii="Arial" w:hAnsi="Arial" w:cs="Arial"/>
                <w:sz w:val="22"/>
                <w:szCs w:val="22"/>
              </w:rPr>
              <w:t>Fluent English speakers should not assume a lack of understanding or motivation on the part of language learners; often differences in cultural expectations are at play.</w:t>
            </w:r>
          </w:p>
        </w:tc>
      </w:tr>
      <w:tr w:rsidR="00E62BB5" w:rsidRPr="00E032CB" w14:paraId="2DDA68B1" w14:textId="77777777" w:rsidTr="004F6410">
        <w:trPr>
          <w:trHeight w:val="1619"/>
        </w:trPr>
        <w:tc>
          <w:tcPr>
            <w:tcW w:w="4315" w:type="dxa"/>
            <w:vAlign w:val="center"/>
          </w:tcPr>
          <w:p w14:paraId="2E3167D4" w14:textId="77777777" w:rsidR="00E62BB5" w:rsidRPr="00E032CB" w:rsidRDefault="00E62BB5" w:rsidP="004F6410">
            <w:pPr>
              <w:rPr>
                <w:rFonts w:ascii="Arial" w:hAnsi="Arial" w:cs="Arial"/>
                <w:sz w:val="22"/>
                <w:szCs w:val="22"/>
              </w:rPr>
            </w:pPr>
            <w:r w:rsidRPr="00E032CB">
              <w:rPr>
                <w:rFonts w:ascii="Arial" w:hAnsi="Arial" w:cs="Arial"/>
                <w:sz w:val="22"/>
                <w:szCs w:val="22"/>
              </w:rPr>
              <w:t>Intellectual understanding is the most important contribution a person can make.</w:t>
            </w:r>
          </w:p>
        </w:tc>
        <w:tc>
          <w:tcPr>
            <w:tcW w:w="5035" w:type="dxa"/>
            <w:vAlign w:val="center"/>
          </w:tcPr>
          <w:p w14:paraId="3868F70C" w14:textId="77777777" w:rsidR="00E62BB5" w:rsidRPr="00E032CB" w:rsidRDefault="00E62BB5" w:rsidP="004F6410">
            <w:pPr>
              <w:rPr>
                <w:rFonts w:ascii="Arial" w:hAnsi="Arial" w:cs="Arial"/>
                <w:sz w:val="22"/>
                <w:szCs w:val="22"/>
              </w:rPr>
            </w:pPr>
            <w:r w:rsidRPr="00E032CB">
              <w:rPr>
                <w:rFonts w:ascii="Arial" w:hAnsi="Arial" w:cs="Arial"/>
                <w:sz w:val="22"/>
                <w:szCs w:val="22"/>
              </w:rPr>
              <w:t>Intellectual understanding is important but group members that promote consensus building, reflection, empathy, and conflict resolution are especially successful group members.</w:t>
            </w:r>
          </w:p>
        </w:tc>
      </w:tr>
      <w:tr w:rsidR="00E62BB5" w:rsidRPr="00E032CB" w14:paraId="22394DE0" w14:textId="77777777" w:rsidTr="004F6410">
        <w:trPr>
          <w:trHeight w:val="1772"/>
        </w:trPr>
        <w:tc>
          <w:tcPr>
            <w:tcW w:w="4315" w:type="dxa"/>
            <w:vAlign w:val="center"/>
          </w:tcPr>
          <w:p w14:paraId="2EEF2645" w14:textId="77777777" w:rsidR="00E62BB5" w:rsidRPr="00E032CB" w:rsidRDefault="00E62BB5" w:rsidP="004F6410">
            <w:pPr>
              <w:rPr>
                <w:rFonts w:ascii="Arial" w:hAnsi="Arial" w:cs="Arial"/>
                <w:sz w:val="22"/>
                <w:szCs w:val="22"/>
              </w:rPr>
            </w:pPr>
            <w:r w:rsidRPr="00E032CB">
              <w:rPr>
                <w:rFonts w:ascii="Arial" w:hAnsi="Arial" w:cs="Arial"/>
                <w:sz w:val="22"/>
                <w:szCs w:val="22"/>
              </w:rPr>
              <w:t>Mistakes and a lack of understanding are problematic for a group’s function.</w:t>
            </w:r>
          </w:p>
        </w:tc>
        <w:tc>
          <w:tcPr>
            <w:tcW w:w="5035" w:type="dxa"/>
            <w:vAlign w:val="center"/>
          </w:tcPr>
          <w:p w14:paraId="279BE1FC" w14:textId="77777777" w:rsidR="00E62BB5" w:rsidRPr="00E032CB" w:rsidRDefault="00E62BB5" w:rsidP="004F6410">
            <w:pPr>
              <w:rPr>
                <w:rFonts w:ascii="Arial" w:hAnsi="Arial" w:cs="Arial"/>
                <w:sz w:val="22"/>
                <w:szCs w:val="22"/>
              </w:rPr>
            </w:pPr>
            <w:r w:rsidRPr="00E032CB">
              <w:rPr>
                <w:rFonts w:ascii="Arial" w:hAnsi="Arial" w:cs="Arial"/>
                <w:sz w:val="22"/>
                <w:szCs w:val="22"/>
              </w:rPr>
              <w:t>Mistakes and a lack of understanding are necessary in the learning process. Willingness to ask questions and learn from mistakes are key to successful group function and the production of high-quality products.</w:t>
            </w:r>
          </w:p>
        </w:tc>
      </w:tr>
      <w:tr w:rsidR="00E62BB5" w:rsidRPr="00E032CB" w14:paraId="4CBA05AC" w14:textId="77777777" w:rsidTr="004F6410">
        <w:trPr>
          <w:trHeight w:val="2159"/>
        </w:trPr>
        <w:tc>
          <w:tcPr>
            <w:tcW w:w="4315" w:type="dxa"/>
            <w:vAlign w:val="center"/>
          </w:tcPr>
          <w:p w14:paraId="0B6D4F3D" w14:textId="77777777" w:rsidR="00E62BB5" w:rsidRPr="00E032CB" w:rsidRDefault="00E62BB5" w:rsidP="004F6410">
            <w:pPr>
              <w:rPr>
                <w:rFonts w:ascii="Arial" w:hAnsi="Arial" w:cs="Arial"/>
                <w:sz w:val="22"/>
                <w:szCs w:val="22"/>
              </w:rPr>
            </w:pPr>
            <w:r w:rsidRPr="00E032CB">
              <w:rPr>
                <w:rFonts w:ascii="Arial" w:hAnsi="Arial" w:cs="Arial"/>
                <w:sz w:val="22"/>
                <w:szCs w:val="22"/>
              </w:rPr>
              <w:t>Group members should all communicate and participate in a specific way.</w:t>
            </w:r>
          </w:p>
        </w:tc>
        <w:tc>
          <w:tcPr>
            <w:tcW w:w="5035" w:type="dxa"/>
            <w:vAlign w:val="center"/>
          </w:tcPr>
          <w:p w14:paraId="7B8587DC" w14:textId="77777777" w:rsidR="00E62BB5" w:rsidRPr="00E032CB" w:rsidRDefault="00E62BB5" w:rsidP="004F6410">
            <w:pPr>
              <w:rPr>
                <w:rFonts w:ascii="Arial" w:hAnsi="Arial" w:cs="Arial"/>
                <w:sz w:val="22"/>
                <w:szCs w:val="22"/>
              </w:rPr>
            </w:pPr>
            <w:r w:rsidRPr="00E032CB">
              <w:rPr>
                <w:rFonts w:ascii="Arial" w:hAnsi="Arial" w:cs="Arial"/>
                <w:sz w:val="22"/>
                <w:szCs w:val="22"/>
              </w:rPr>
              <w:t>Persons from different backgrounds have different cultural expectations for communication and participation. Everyone in the group should work to expand the areas in which they are skilled and comfortable. No single communication or participation style should be expected.</w:t>
            </w:r>
          </w:p>
        </w:tc>
      </w:tr>
      <w:tr w:rsidR="00E62BB5" w:rsidRPr="00E032CB" w14:paraId="1A095C03" w14:textId="77777777" w:rsidTr="004F6410">
        <w:trPr>
          <w:trHeight w:val="1592"/>
        </w:trPr>
        <w:tc>
          <w:tcPr>
            <w:tcW w:w="4315" w:type="dxa"/>
            <w:vAlign w:val="center"/>
          </w:tcPr>
          <w:p w14:paraId="17786FFA" w14:textId="77777777" w:rsidR="00E62BB5" w:rsidRPr="00E032CB" w:rsidRDefault="00E62BB5" w:rsidP="004F6410">
            <w:pPr>
              <w:rPr>
                <w:rFonts w:ascii="Arial" w:hAnsi="Arial" w:cs="Arial"/>
                <w:sz w:val="22"/>
                <w:szCs w:val="22"/>
              </w:rPr>
            </w:pPr>
            <w:r w:rsidRPr="00E032CB">
              <w:rPr>
                <w:rFonts w:ascii="Arial" w:hAnsi="Arial" w:cs="Arial"/>
                <w:sz w:val="22"/>
                <w:szCs w:val="22"/>
              </w:rPr>
              <w:lastRenderedPageBreak/>
              <w:t>All members of the group have the same amount of time to devote to the project.</w:t>
            </w:r>
          </w:p>
        </w:tc>
        <w:tc>
          <w:tcPr>
            <w:tcW w:w="5035" w:type="dxa"/>
            <w:vAlign w:val="center"/>
          </w:tcPr>
          <w:p w14:paraId="026C9128" w14:textId="77777777" w:rsidR="00E62BB5" w:rsidRPr="00E032CB" w:rsidRDefault="00E62BB5" w:rsidP="004F6410">
            <w:pPr>
              <w:rPr>
                <w:rFonts w:ascii="Arial" w:hAnsi="Arial" w:cs="Arial"/>
                <w:sz w:val="22"/>
                <w:szCs w:val="22"/>
              </w:rPr>
            </w:pPr>
            <w:r w:rsidRPr="00E032CB">
              <w:rPr>
                <w:rFonts w:ascii="Arial" w:hAnsi="Arial" w:cs="Arial"/>
                <w:sz w:val="22"/>
                <w:szCs w:val="22"/>
              </w:rPr>
              <w:t xml:space="preserve">Many students have life responsibilities beyond coursework. While all members of the group need to make substantial contributions to the project, some flexibility around deadlines may be necessary. </w:t>
            </w:r>
          </w:p>
        </w:tc>
      </w:tr>
      <w:tr w:rsidR="00E62BB5" w:rsidRPr="00E032CB" w14:paraId="10C196D4" w14:textId="77777777" w:rsidTr="004F6410">
        <w:trPr>
          <w:trHeight w:val="2708"/>
        </w:trPr>
        <w:tc>
          <w:tcPr>
            <w:tcW w:w="4315" w:type="dxa"/>
            <w:vAlign w:val="center"/>
          </w:tcPr>
          <w:p w14:paraId="741BA692" w14:textId="77777777" w:rsidR="00E62BB5" w:rsidRPr="00E032CB" w:rsidRDefault="00E62BB5" w:rsidP="004F6410">
            <w:pPr>
              <w:rPr>
                <w:rFonts w:ascii="Arial" w:hAnsi="Arial" w:cs="Arial"/>
                <w:sz w:val="22"/>
                <w:szCs w:val="22"/>
              </w:rPr>
            </w:pPr>
            <w:r w:rsidRPr="00E032CB">
              <w:rPr>
                <w:rFonts w:ascii="Arial" w:hAnsi="Arial" w:cs="Arial"/>
                <w:sz w:val="22"/>
                <w:szCs w:val="22"/>
              </w:rPr>
              <w:t>It is OK in group work to allow other persons to do more of the work.</w:t>
            </w:r>
          </w:p>
        </w:tc>
        <w:tc>
          <w:tcPr>
            <w:tcW w:w="5035" w:type="dxa"/>
            <w:vAlign w:val="center"/>
          </w:tcPr>
          <w:p w14:paraId="63D22AD2" w14:textId="77777777" w:rsidR="00E62BB5" w:rsidRPr="00E032CB" w:rsidRDefault="00E62BB5" w:rsidP="004F6410">
            <w:pPr>
              <w:rPr>
                <w:rFonts w:ascii="Arial" w:hAnsi="Arial" w:cs="Arial"/>
                <w:sz w:val="22"/>
                <w:szCs w:val="22"/>
              </w:rPr>
            </w:pPr>
            <w:r w:rsidRPr="00E032CB">
              <w:rPr>
                <w:rFonts w:ascii="Arial" w:hAnsi="Arial" w:cs="Arial"/>
                <w:sz w:val="22"/>
                <w:szCs w:val="22"/>
              </w:rPr>
              <w:t>Not carrying your share of the effort in a group is especially disrespectful and damaging to an academic community. If you find yourself in a situation in which you are having difficulty completing tasks, the responsible thing to do is to speak with your group members and/or your faculty. We can more than likely work out a solution.</w:t>
            </w:r>
          </w:p>
        </w:tc>
      </w:tr>
      <w:tr w:rsidR="00E62BB5" w:rsidRPr="00E032CB" w14:paraId="7F9D2F9E" w14:textId="77777777" w:rsidTr="004F6410">
        <w:trPr>
          <w:trHeight w:val="2708"/>
        </w:trPr>
        <w:tc>
          <w:tcPr>
            <w:tcW w:w="4315" w:type="dxa"/>
            <w:vAlign w:val="center"/>
          </w:tcPr>
          <w:p w14:paraId="6DC40300" w14:textId="77777777" w:rsidR="00E62BB5" w:rsidRPr="00E032CB" w:rsidRDefault="00E62BB5" w:rsidP="004F6410">
            <w:pPr>
              <w:rPr>
                <w:rFonts w:ascii="Arial" w:hAnsi="Arial" w:cs="Arial"/>
                <w:sz w:val="22"/>
                <w:szCs w:val="22"/>
              </w:rPr>
            </w:pPr>
            <w:r w:rsidRPr="00E032CB">
              <w:rPr>
                <w:rFonts w:ascii="Arial" w:hAnsi="Arial" w:cs="Arial"/>
                <w:sz w:val="22"/>
                <w:szCs w:val="22"/>
              </w:rPr>
              <w:t>It is OK in group work to remain disengaged and to follow the lead of others.</w:t>
            </w:r>
          </w:p>
        </w:tc>
        <w:tc>
          <w:tcPr>
            <w:tcW w:w="5035" w:type="dxa"/>
            <w:vAlign w:val="center"/>
          </w:tcPr>
          <w:p w14:paraId="13B41BDA" w14:textId="77777777" w:rsidR="00E62BB5" w:rsidRPr="00E032CB" w:rsidRDefault="00E62BB5" w:rsidP="004F6410">
            <w:pPr>
              <w:rPr>
                <w:rFonts w:ascii="Arial" w:hAnsi="Arial" w:cs="Arial"/>
                <w:sz w:val="22"/>
                <w:szCs w:val="22"/>
              </w:rPr>
            </w:pPr>
            <w:r w:rsidRPr="00E032CB">
              <w:rPr>
                <w:rFonts w:ascii="Arial" w:hAnsi="Arial" w:cs="Arial"/>
                <w:sz w:val="22"/>
                <w:szCs w:val="22"/>
              </w:rPr>
              <w:t>All members of a group should engage in the intellectual and psychosocial work of the group. Everyone needs to share their ideas, take responsibility for an aspect of the project, and step into situations and behaviors that may be unfamiliar (e.g., if you are a quiet person, you should try to talk more; if you are an active talker, you should practice more listening skills).</w:t>
            </w:r>
          </w:p>
        </w:tc>
      </w:tr>
    </w:tbl>
    <w:p w14:paraId="35E52EAC" w14:textId="646D94E5" w:rsidR="00E62BB5" w:rsidRPr="00E032CB" w:rsidRDefault="00E62BB5">
      <w:pPr>
        <w:rPr>
          <w:rFonts w:ascii="Arial" w:hAnsi="Arial" w:cs="Arial"/>
        </w:rPr>
      </w:pPr>
    </w:p>
    <w:p w14:paraId="27E87731" w14:textId="4291EC1F" w:rsidR="00E032CB" w:rsidRPr="00E032CB" w:rsidRDefault="00E032CB" w:rsidP="00E032CB">
      <w:pPr>
        <w:rPr>
          <w:rFonts w:ascii="Arial" w:hAnsi="Arial" w:cs="Arial"/>
        </w:rPr>
      </w:pPr>
      <w:r w:rsidRPr="00E032CB">
        <w:rPr>
          <w:rFonts w:ascii="Arial" w:hAnsi="Arial" w:cs="Arial"/>
          <w:b/>
          <w:bCs/>
        </w:rPr>
        <w:t>Source</w:t>
      </w:r>
      <w:r w:rsidR="002F743B">
        <w:rPr>
          <w:rFonts w:ascii="Arial" w:hAnsi="Arial" w:cs="Arial"/>
          <w:b/>
          <w:bCs/>
        </w:rPr>
        <w:t xml:space="preserve">: </w:t>
      </w:r>
      <w:r w:rsidR="002F743B" w:rsidRPr="002F743B">
        <w:rPr>
          <w:rFonts w:ascii="Arial" w:hAnsi="Arial" w:cs="Arial"/>
        </w:rPr>
        <w:t>M</w:t>
      </w:r>
      <w:r w:rsidRPr="002F743B">
        <w:rPr>
          <w:rFonts w:ascii="Arial" w:hAnsi="Arial" w:cs="Arial"/>
        </w:rPr>
        <w:t>ulnix</w:t>
      </w:r>
      <w:r>
        <w:rPr>
          <w:rFonts w:ascii="Arial" w:hAnsi="Arial" w:cs="Arial"/>
        </w:rPr>
        <w:t>, Amy B. 2022.</w:t>
      </w:r>
      <w:r w:rsidRPr="00E032CB">
        <w:rPr>
          <w:rFonts w:ascii="Arial" w:hAnsi="Arial" w:cs="Arial"/>
        </w:rPr>
        <w:t xml:space="preserve"> “Getting Realistic about Group Work</w:t>
      </w:r>
      <w:r>
        <w:rPr>
          <w:rFonts w:ascii="Arial" w:hAnsi="Arial" w:cs="Arial"/>
        </w:rPr>
        <w:t>.</w:t>
      </w:r>
      <w:r w:rsidRPr="00E032CB">
        <w:rPr>
          <w:rFonts w:ascii="Arial" w:hAnsi="Arial" w:cs="Arial"/>
        </w:rPr>
        <w:t xml:space="preserve">” </w:t>
      </w:r>
      <w:r w:rsidRPr="00E032CB">
        <w:rPr>
          <w:rFonts w:ascii="Arial" w:hAnsi="Arial" w:cs="Arial"/>
          <w:i/>
          <w:iCs/>
        </w:rPr>
        <w:t>The Teaching Professor</w:t>
      </w:r>
      <w:r>
        <w:rPr>
          <w:rFonts w:ascii="Arial" w:hAnsi="Arial" w:cs="Arial"/>
        </w:rPr>
        <w:t xml:space="preserve">, </w:t>
      </w:r>
      <w:r w:rsidRPr="00E032CB">
        <w:rPr>
          <w:rFonts w:ascii="Arial" w:hAnsi="Arial" w:cs="Arial"/>
        </w:rPr>
        <w:t>June 27, 2022</w:t>
      </w:r>
      <w:r>
        <w:rPr>
          <w:rFonts w:ascii="Arial" w:hAnsi="Arial" w:cs="Arial"/>
        </w:rPr>
        <w:t>.</w:t>
      </w:r>
      <w:r w:rsidR="002F743B">
        <w:rPr>
          <w:rFonts w:ascii="Arial" w:hAnsi="Arial" w:cs="Arial"/>
        </w:rPr>
        <w:t xml:space="preserve"> </w:t>
      </w:r>
      <w:hyperlink r:id="rId4" w:history="1">
        <w:r w:rsidR="006E4CDA" w:rsidRPr="006E4CDA">
          <w:rPr>
            <w:rStyle w:val="Hyperlink"/>
            <w:rFonts w:ascii="Arial" w:hAnsi="Arial" w:cs="Arial"/>
            <w:color w:val="auto"/>
            <w:u w:val="none"/>
          </w:rPr>
          <w:t>https://www.teachingprofessor.com/topics/teaching-strategies/group-work/getting-realistic-about-group-work</w:t>
        </w:r>
      </w:hyperlink>
    </w:p>
    <w:p w14:paraId="5AF5EF41" w14:textId="77777777" w:rsidR="00E032CB" w:rsidRPr="00E032CB" w:rsidRDefault="00E032CB">
      <w:pPr>
        <w:rPr>
          <w:rFonts w:ascii="Arial" w:hAnsi="Arial" w:cs="Arial"/>
        </w:rPr>
      </w:pPr>
    </w:p>
    <w:sectPr w:rsidR="00E032CB" w:rsidRPr="00E032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680F"/>
    <w:rsid w:val="002113DF"/>
    <w:rsid w:val="00264423"/>
    <w:rsid w:val="002F743B"/>
    <w:rsid w:val="006E4CDA"/>
    <w:rsid w:val="0077330C"/>
    <w:rsid w:val="007C6AC8"/>
    <w:rsid w:val="00A4680F"/>
    <w:rsid w:val="00E032CB"/>
    <w:rsid w:val="00E62B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2F76B"/>
  <w15:chartTrackingRefBased/>
  <w15:docId w15:val="{38EB3F4C-7B70-4C92-8903-CBF80E059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62BB5"/>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E4CDA"/>
    <w:rPr>
      <w:color w:val="0563C1" w:themeColor="hyperlink"/>
      <w:u w:val="single"/>
    </w:rPr>
  </w:style>
  <w:style w:type="character" w:styleId="UnresolvedMention">
    <w:name w:val="Unresolved Mention"/>
    <w:basedOn w:val="DefaultParagraphFont"/>
    <w:uiPriority w:val="99"/>
    <w:semiHidden/>
    <w:unhideWhenUsed/>
    <w:rsid w:val="006E4C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teachingprofessor.com/topics/teaching-strategies/group-work/getting-realistic-about-group-w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513</Words>
  <Characters>2928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 Crylen</dc:creator>
  <cp:keywords/>
  <dc:description/>
  <cp:lastModifiedBy>Jon Crylen</cp:lastModifiedBy>
  <cp:revision>3</cp:revision>
  <dcterms:created xsi:type="dcterms:W3CDTF">2022-06-15T20:17:00Z</dcterms:created>
  <dcterms:modified xsi:type="dcterms:W3CDTF">2022-06-15T20:36:00Z</dcterms:modified>
</cp:coreProperties>
</file>